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D3" w:rsidRPr="00790924" w:rsidRDefault="00790924" w:rsidP="00790924">
      <w:pPr>
        <w:jc w:val="center"/>
        <w:rPr>
          <w:rFonts w:ascii="Arial" w:hAnsi="Arial" w:cs="Arial"/>
          <w:sz w:val="36"/>
          <w:szCs w:val="36"/>
        </w:rPr>
      </w:pPr>
      <w:r w:rsidRPr="00790924">
        <w:rPr>
          <w:rFonts w:ascii="Arial" w:hAnsi="Arial" w:cs="Arial"/>
          <w:sz w:val="36"/>
          <w:szCs w:val="36"/>
        </w:rPr>
        <w:t>VDA’s</w:t>
      </w:r>
    </w:p>
    <w:p w:rsidR="00790924" w:rsidRPr="00790924" w:rsidRDefault="00790924" w:rsidP="00790924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7470A0" w:rsidRPr="00EC75B6" w:rsidRDefault="00790924" w:rsidP="00790924">
      <w:pPr>
        <w:rPr>
          <w:rFonts w:ascii="Arial" w:hAnsi="Arial" w:cs="Arial"/>
        </w:rPr>
      </w:pPr>
      <w:r w:rsidRPr="00EC75B6">
        <w:rPr>
          <w:rFonts w:ascii="Arial" w:hAnsi="Arial" w:cs="Arial"/>
        </w:rPr>
        <w:t>VDAs</w:t>
      </w:r>
      <w:r w:rsidR="007470A0" w:rsidRPr="00EC75B6">
        <w:rPr>
          <w:rFonts w:ascii="Arial" w:hAnsi="Arial" w:cs="Arial"/>
        </w:rPr>
        <w:t xml:space="preserve"> (visual descent angle) not</w:t>
      </w:r>
      <w:r w:rsidRPr="00EC75B6">
        <w:rPr>
          <w:rFonts w:ascii="Arial" w:hAnsi="Arial" w:cs="Arial"/>
        </w:rPr>
        <w:t xml:space="preserve"> to be confused with VDPs</w:t>
      </w:r>
      <w:r w:rsidR="00F40E03">
        <w:rPr>
          <w:rFonts w:ascii="Arial" w:hAnsi="Arial" w:cs="Arial"/>
        </w:rPr>
        <w:t xml:space="preserve"> are starting to appear </w:t>
      </w:r>
      <w:r w:rsidRPr="00EC75B6">
        <w:rPr>
          <w:rFonts w:ascii="Arial" w:hAnsi="Arial" w:cs="Arial"/>
        </w:rPr>
        <w:t xml:space="preserve">on </w:t>
      </w:r>
      <w:r w:rsidR="007470A0" w:rsidRPr="00EC75B6">
        <w:rPr>
          <w:rFonts w:ascii="Arial" w:hAnsi="Arial" w:cs="Arial"/>
        </w:rPr>
        <w:t xml:space="preserve">non-precision </w:t>
      </w:r>
      <w:r w:rsidRPr="00EC75B6">
        <w:rPr>
          <w:rFonts w:ascii="Arial" w:hAnsi="Arial" w:cs="Arial"/>
        </w:rPr>
        <w:t>approach charts</w:t>
      </w:r>
      <w:r w:rsidR="007470A0" w:rsidRPr="00EC75B6">
        <w:rPr>
          <w:rFonts w:ascii="Arial" w:hAnsi="Arial" w:cs="Arial"/>
        </w:rPr>
        <w:t xml:space="preserve"> (</w:t>
      </w:r>
      <w:r w:rsidRPr="00EC75B6">
        <w:rPr>
          <w:rFonts w:ascii="Arial" w:hAnsi="Arial" w:cs="Arial"/>
        </w:rPr>
        <w:t xml:space="preserve">LOC, VOR, and GPS). </w:t>
      </w:r>
      <w:r w:rsidR="00F40E03">
        <w:rPr>
          <w:rFonts w:ascii="Arial" w:hAnsi="Arial" w:cs="Arial"/>
        </w:rPr>
        <w:t xml:space="preserve">FAA policy is to publish VDA’s on </w:t>
      </w:r>
      <w:r w:rsidR="00F40E03" w:rsidRPr="00A56103">
        <w:rPr>
          <w:rFonts w:ascii="Arial" w:hAnsi="Arial" w:cs="Arial"/>
          <w:u w:val="single"/>
        </w:rPr>
        <w:t>ALL</w:t>
      </w:r>
      <w:r w:rsidR="00F40E03">
        <w:rPr>
          <w:rFonts w:ascii="Arial" w:hAnsi="Arial" w:cs="Arial"/>
        </w:rPr>
        <w:t xml:space="preserve"> non-precision approaches. This will take some time to complete. </w:t>
      </w:r>
      <w:r w:rsidRPr="00EC75B6">
        <w:rPr>
          <w:rFonts w:ascii="Arial" w:hAnsi="Arial" w:cs="Arial"/>
        </w:rPr>
        <w:t>The symbol</w:t>
      </w:r>
      <w:r w:rsidR="007470A0" w:rsidRPr="00EC75B6">
        <w:rPr>
          <w:rFonts w:ascii="Arial" w:hAnsi="Arial" w:cs="Arial"/>
        </w:rPr>
        <w:t xml:space="preserve"> looks like this </w:t>
      </w:r>
    </w:p>
    <w:p w:rsidR="007470A0" w:rsidRPr="00EC75B6" w:rsidRDefault="007470A0" w:rsidP="00790924">
      <w:pPr>
        <w:rPr>
          <w:rFonts w:ascii="Arial" w:hAnsi="Arial" w:cs="Arial"/>
        </w:rPr>
      </w:pPr>
    </w:p>
    <w:p w:rsidR="007470A0" w:rsidRPr="00EC75B6" w:rsidRDefault="007470A0" w:rsidP="00790924">
      <w:pPr>
        <w:rPr>
          <w:rFonts w:ascii="Arial" w:hAnsi="Arial" w:cs="Arial"/>
        </w:rPr>
      </w:pPr>
      <w:r w:rsidRPr="00EC75B6">
        <w:rPr>
          <w:rFonts w:ascii="Arial" w:hAnsi="Arial" w:cs="Arial"/>
          <w:u w:val="single"/>
        </w:rPr>
        <w:t xml:space="preserve"> 3.00° </w:t>
      </w:r>
      <w:proofErr w:type="gramStart"/>
      <w:r w:rsidRPr="00EC75B6">
        <w:rPr>
          <w:rFonts w:ascii="Arial" w:hAnsi="Arial" w:cs="Arial"/>
          <w:u w:val="single"/>
        </w:rPr>
        <w:t>&gt;</w:t>
      </w:r>
      <w:r w:rsidRPr="00EC75B6">
        <w:rPr>
          <w:rFonts w:ascii="Arial" w:hAnsi="Arial" w:cs="Arial"/>
        </w:rPr>
        <w:t xml:space="preserve">  </w:t>
      </w:r>
      <w:r w:rsidR="009569AC">
        <w:rPr>
          <w:rFonts w:ascii="Arial" w:hAnsi="Arial" w:cs="Arial"/>
        </w:rPr>
        <w:t>and</w:t>
      </w:r>
      <w:proofErr w:type="gramEnd"/>
      <w:r w:rsidR="009569AC">
        <w:rPr>
          <w:rFonts w:ascii="Arial" w:hAnsi="Arial" w:cs="Arial"/>
        </w:rPr>
        <w:t xml:space="preserve"> </w:t>
      </w:r>
      <w:r w:rsidRPr="00EC75B6">
        <w:rPr>
          <w:rFonts w:ascii="Arial" w:hAnsi="Arial" w:cs="Arial"/>
        </w:rPr>
        <w:t>is located in the profile view</w:t>
      </w:r>
      <w:r w:rsidR="009569AC">
        <w:rPr>
          <w:rFonts w:ascii="Arial" w:hAnsi="Arial" w:cs="Arial"/>
        </w:rPr>
        <w:t xml:space="preserve"> </w:t>
      </w:r>
      <w:r w:rsidR="009569AC" w:rsidRPr="00F40E03">
        <w:rPr>
          <w:rFonts w:ascii="Arial" w:hAnsi="Arial" w:cs="Arial"/>
          <w:u w:val="single"/>
        </w:rPr>
        <w:t>following</w:t>
      </w:r>
      <w:r w:rsidR="009569AC">
        <w:rPr>
          <w:rFonts w:ascii="Arial" w:hAnsi="Arial" w:cs="Arial"/>
        </w:rPr>
        <w:t xml:space="preserve"> the fix used to compute the angle.  </w:t>
      </w:r>
    </w:p>
    <w:p w:rsidR="009569AC" w:rsidRDefault="007470A0" w:rsidP="00790924">
      <w:pPr>
        <w:rPr>
          <w:rFonts w:ascii="Arial" w:hAnsi="Arial" w:cs="Arial"/>
        </w:rPr>
      </w:pPr>
      <w:r w:rsidRPr="00EC75B6">
        <w:rPr>
          <w:rFonts w:ascii="Arial" w:hAnsi="Arial" w:cs="Arial"/>
        </w:rPr>
        <w:t>TCH 45</w:t>
      </w:r>
      <w:r w:rsidR="009569AC">
        <w:rPr>
          <w:rFonts w:ascii="Arial" w:hAnsi="Arial" w:cs="Arial"/>
        </w:rPr>
        <w:t xml:space="preserve"> </w:t>
      </w:r>
    </w:p>
    <w:p w:rsidR="00F40E03" w:rsidRDefault="00F40E03" w:rsidP="00790924">
      <w:pPr>
        <w:rPr>
          <w:rFonts w:ascii="Arial" w:hAnsi="Arial" w:cs="Arial"/>
        </w:rPr>
      </w:pPr>
    </w:p>
    <w:p w:rsidR="009569AC" w:rsidRPr="009569AC" w:rsidRDefault="00F40E03" w:rsidP="00790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descent angle is computed </w:t>
      </w:r>
      <w:r w:rsidR="009569AC" w:rsidRPr="009569AC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either the FAF</w:t>
      </w:r>
      <w:r w:rsidR="009569AC" w:rsidRPr="009569AC">
        <w:rPr>
          <w:rFonts w:ascii="Arial" w:hAnsi="Arial" w:cs="Arial"/>
        </w:rPr>
        <w:t xml:space="preserve"> or a stepdown fix, to the runway threshold at the published TCH. A stepdown fix is only </w:t>
      </w:r>
      <w:r>
        <w:rPr>
          <w:rFonts w:ascii="Arial" w:hAnsi="Arial" w:cs="Arial"/>
        </w:rPr>
        <w:t xml:space="preserve">used as the start point when the </w:t>
      </w:r>
      <w:r w:rsidR="009569AC" w:rsidRPr="009569AC">
        <w:rPr>
          <w:rFonts w:ascii="Arial" w:hAnsi="Arial" w:cs="Arial"/>
        </w:rPr>
        <w:t xml:space="preserve">angle computed from the FAF </w:t>
      </w:r>
      <w:r>
        <w:rPr>
          <w:rFonts w:ascii="Arial" w:hAnsi="Arial" w:cs="Arial"/>
        </w:rPr>
        <w:t xml:space="preserve">would place the aircraft below a </w:t>
      </w:r>
      <w:r w:rsidR="009569AC" w:rsidRPr="009569AC">
        <w:rPr>
          <w:rFonts w:ascii="Arial" w:hAnsi="Arial" w:cs="Arial"/>
        </w:rPr>
        <w:t>stepdow</w:t>
      </w:r>
      <w:r w:rsidR="009569AC">
        <w:rPr>
          <w:rFonts w:ascii="Arial" w:hAnsi="Arial" w:cs="Arial"/>
        </w:rPr>
        <w:t>n fix altitude.</w:t>
      </w:r>
      <w:r w:rsidR="009569AC" w:rsidRPr="009569AC">
        <w:rPr>
          <w:rFonts w:ascii="Arial" w:hAnsi="Arial" w:cs="Arial"/>
        </w:rPr>
        <w:t xml:space="preserve"> Th</w:t>
      </w:r>
      <w:r w:rsidR="00AF4595">
        <w:rPr>
          <w:rFonts w:ascii="Arial" w:hAnsi="Arial" w:cs="Arial"/>
        </w:rPr>
        <w:t>e optimum descent angle is 3.00</w:t>
      </w:r>
      <w:r w:rsidR="00AF4595">
        <w:rPr>
          <w:rFonts w:ascii="Arial" w:hAnsi="Arial" w:cs="Arial"/>
        </w:rPr>
        <w:t>°</w:t>
      </w:r>
      <w:r w:rsidR="00A56103">
        <w:rPr>
          <w:rFonts w:ascii="Arial" w:hAnsi="Arial" w:cs="Arial"/>
        </w:rPr>
        <w:t xml:space="preserve"> which is app</w:t>
      </w:r>
      <w:r w:rsidR="00AF4595">
        <w:rPr>
          <w:rFonts w:ascii="Arial" w:hAnsi="Arial" w:cs="Arial"/>
        </w:rPr>
        <w:t>roximately equivalent to a 20:1 slope.  W</w:t>
      </w:r>
      <w:r w:rsidR="009569AC" w:rsidRPr="009569AC">
        <w:rPr>
          <w:rFonts w:ascii="Arial" w:hAnsi="Arial" w:cs="Arial"/>
        </w:rPr>
        <w:t>henever possible the approach will be designed using this angle</w:t>
      </w:r>
      <w:r w:rsidR="00AF4595">
        <w:rPr>
          <w:rFonts w:ascii="Arial" w:hAnsi="Arial" w:cs="Arial"/>
        </w:rPr>
        <w:t>.</w:t>
      </w:r>
    </w:p>
    <w:p w:rsidR="009569AC" w:rsidRDefault="009569AC" w:rsidP="00790924">
      <w:pPr>
        <w:rPr>
          <w:rFonts w:ascii="Arial" w:hAnsi="Arial" w:cs="Arial"/>
        </w:rPr>
      </w:pPr>
    </w:p>
    <w:p w:rsidR="002F451C" w:rsidRPr="002F451C" w:rsidRDefault="002F451C" w:rsidP="00790924">
      <w:pPr>
        <w:rPr>
          <w:rFonts w:ascii="Arial" w:hAnsi="Arial" w:cs="Arial"/>
        </w:rPr>
      </w:pPr>
      <w:r w:rsidRPr="002F451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purpose of the </w:t>
      </w:r>
      <w:r w:rsidRPr="002F451C">
        <w:rPr>
          <w:rFonts w:ascii="Arial" w:hAnsi="Arial" w:cs="Arial"/>
        </w:rPr>
        <w:t xml:space="preserve">VDA </w:t>
      </w:r>
      <w:r>
        <w:rPr>
          <w:rFonts w:ascii="Arial" w:hAnsi="Arial" w:cs="Arial"/>
        </w:rPr>
        <w:t>is to provide</w:t>
      </w:r>
      <w:r w:rsidRPr="002F451C">
        <w:rPr>
          <w:rFonts w:ascii="Arial" w:hAnsi="Arial" w:cs="Arial"/>
        </w:rPr>
        <w:t xml:space="preserve"> the pilot with </w:t>
      </w:r>
      <w:r>
        <w:rPr>
          <w:rFonts w:ascii="Arial" w:hAnsi="Arial" w:cs="Arial"/>
        </w:rPr>
        <w:t>a m</w:t>
      </w:r>
      <w:r w:rsidRPr="002F451C">
        <w:rPr>
          <w:rFonts w:ascii="Arial" w:hAnsi="Arial" w:cs="Arial"/>
        </w:rPr>
        <w:t>eans to establish a stabilized descent from the FAF or stepdown fix to the MDA.</w:t>
      </w:r>
      <w:r>
        <w:rPr>
          <w:rFonts w:ascii="Arial" w:hAnsi="Arial" w:cs="Arial"/>
        </w:rPr>
        <w:t xml:space="preserve"> This is in contrast to the dive and drive method which the FAA</w:t>
      </w:r>
      <w:r w:rsidRPr="002F451C">
        <w:rPr>
          <w:rFonts w:ascii="Arial" w:hAnsi="Arial" w:cs="Arial"/>
        </w:rPr>
        <w:t xml:space="preserve"> believes </w:t>
      </w:r>
      <w:r w:rsidR="00F40E03">
        <w:rPr>
          <w:rFonts w:ascii="Arial" w:hAnsi="Arial" w:cs="Arial"/>
        </w:rPr>
        <w:t xml:space="preserve">has contributed </w:t>
      </w:r>
      <w:r w:rsidRPr="002F451C">
        <w:rPr>
          <w:rFonts w:ascii="Arial" w:hAnsi="Arial" w:cs="Arial"/>
        </w:rPr>
        <w:t xml:space="preserve">to aircraft </w:t>
      </w:r>
      <w:r>
        <w:rPr>
          <w:rFonts w:ascii="Arial" w:hAnsi="Arial" w:cs="Arial"/>
        </w:rPr>
        <w:t xml:space="preserve">CFIT </w:t>
      </w:r>
      <w:r w:rsidRPr="002F451C">
        <w:rPr>
          <w:rFonts w:ascii="Arial" w:hAnsi="Arial" w:cs="Arial"/>
        </w:rPr>
        <w:t>accidents from excessive descent rates. However, the FAA is careful to p</w:t>
      </w:r>
      <w:r>
        <w:rPr>
          <w:rFonts w:ascii="Arial" w:hAnsi="Arial" w:cs="Arial"/>
        </w:rPr>
        <w:t>oint out in the AIM 5-4-5, that “</w:t>
      </w:r>
      <w:r w:rsidRPr="002F451C">
        <w:rPr>
          <w:rFonts w:ascii="Arial" w:hAnsi="Arial" w:cs="Arial"/>
        </w:rPr>
        <w:t>pilots should be aware that the published angle is for information only − it is strictly advisory in nature. There is no implicit additional obstacle protection below the MDA</w:t>
      </w:r>
      <w:r>
        <w:rPr>
          <w:rFonts w:ascii="Arial" w:hAnsi="Arial" w:cs="Arial"/>
        </w:rPr>
        <w:t xml:space="preserve">”. </w:t>
      </w:r>
      <w:r w:rsidRPr="002F451C">
        <w:rPr>
          <w:rFonts w:ascii="Arial" w:hAnsi="Arial" w:cs="Arial"/>
        </w:rPr>
        <w:t>On RNAV approach charts, a small shaded</w:t>
      </w:r>
      <w:r>
        <w:rPr>
          <w:rFonts w:ascii="Arial" w:hAnsi="Arial" w:cs="Arial"/>
        </w:rPr>
        <w:t xml:space="preserve"> arrowhead shaped symbol f</w:t>
      </w:r>
      <w:r w:rsidRPr="002F451C">
        <w:rPr>
          <w:rFonts w:ascii="Arial" w:hAnsi="Arial" w:cs="Arial"/>
        </w:rPr>
        <w:t>rom the end of the VDA to the runway indicates that the 34:1 visual surface is clear</w:t>
      </w:r>
      <w:r w:rsidR="00AF4595">
        <w:rPr>
          <w:rFonts w:ascii="Arial" w:hAnsi="Arial" w:cs="Arial"/>
        </w:rPr>
        <w:t>.</w:t>
      </w:r>
    </w:p>
    <w:p w:rsidR="002F451C" w:rsidRDefault="002F451C" w:rsidP="00790924">
      <w:pPr>
        <w:rPr>
          <w:rFonts w:ascii="Arial" w:hAnsi="Arial" w:cs="Arial"/>
        </w:rPr>
      </w:pPr>
    </w:p>
    <w:p w:rsidR="008A2D94" w:rsidRDefault="008A2D94" w:rsidP="00790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can use a VDA to calculate a stabilized the descent rate to the MDA by </w:t>
      </w:r>
      <w:r w:rsidR="00E27421">
        <w:rPr>
          <w:rFonts w:ascii="Arial" w:hAnsi="Arial" w:cs="Arial"/>
        </w:rPr>
        <w:t>using the Climb/Descent table found on instrument approach chart publications. Here’s an example.</w:t>
      </w:r>
    </w:p>
    <w:p w:rsidR="008A2D94" w:rsidRDefault="008A2D94" w:rsidP="00790924">
      <w:pPr>
        <w:rPr>
          <w:rFonts w:ascii="Arial" w:hAnsi="Arial" w:cs="Arial"/>
        </w:rPr>
      </w:pPr>
    </w:p>
    <w:p w:rsidR="00E27421" w:rsidRDefault="00E27421" w:rsidP="00790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A2D94" w:rsidRPr="008A2D94">
        <w:rPr>
          <w:rFonts w:ascii="Arial" w:hAnsi="Arial" w:cs="Arial"/>
        </w:rPr>
        <w:t xml:space="preserve">Find the </w:t>
      </w:r>
      <w:r>
        <w:rPr>
          <w:rFonts w:ascii="Arial" w:hAnsi="Arial" w:cs="Arial"/>
        </w:rPr>
        <w:t xml:space="preserve">published VDA.  Let’s say </w:t>
      </w:r>
      <w:r w:rsidR="00A56103">
        <w:rPr>
          <w:rFonts w:ascii="Arial" w:hAnsi="Arial" w:cs="Arial"/>
        </w:rPr>
        <w:t>it is 3.20</w:t>
      </w:r>
      <w:r w:rsidR="00A56103">
        <w:rPr>
          <w:rFonts w:ascii="Arial" w:hAnsi="Arial" w:cs="Arial"/>
        </w:rPr>
        <w:t>°</w:t>
      </w:r>
      <w:r w:rsidR="008A2D94" w:rsidRPr="008A2D94">
        <w:rPr>
          <w:rFonts w:ascii="Arial" w:hAnsi="Arial" w:cs="Arial"/>
        </w:rPr>
        <w:t>.</w:t>
      </w:r>
    </w:p>
    <w:p w:rsidR="008A2D94" w:rsidRDefault="00E27421" w:rsidP="00790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56103">
        <w:rPr>
          <w:rFonts w:ascii="Arial" w:hAnsi="Arial" w:cs="Arial"/>
        </w:rPr>
        <w:t>From the table we see that a VDA of 3.20</w:t>
      </w:r>
      <w:r w:rsidR="00A56103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 </w:t>
      </w:r>
      <w:r w:rsidR="008A2D94" w:rsidRPr="008A2D94">
        <w:rPr>
          <w:rFonts w:ascii="Arial" w:hAnsi="Arial" w:cs="Arial"/>
        </w:rPr>
        <w:t xml:space="preserve">equates to </w:t>
      </w:r>
      <w:r w:rsidR="00AF4595">
        <w:rPr>
          <w:rFonts w:ascii="Arial" w:hAnsi="Arial" w:cs="Arial"/>
        </w:rPr>
        <w:t xml:space="preserve">a descent rate of </w:t>
      </w:r>
      <w:r>
        <w:rPr>
          <w:rFonts w:ascii="Arial" w:hAnsi="Arial" w:cs="Arial"/>
        </w:rPr>
        <w:t>340 feet per nautical mile</w:t>
      </w:r>
      <w:r w:rsidR="00A561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A2D94" w:rsidRPr="008A2D94">
        <w:rPr>
          <w:rFonts w:ascii="Arial" w:hAnsi="Arial" w:cs="Arial"/>
        </w:rPr>
        <w:t xml:space="preserve"> </w:t>
      </w:r>
    </w:p>
    <w:p w:rsidR="008A2D94" w:rsidRPr="008A2D94" w:rsidRDefault="00E27421" w:rsidP="00790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Following to the right, we can see the descent rate required in feet per minute. For example at </w:t>
      </w:r>
      <w:r w:rsidR="00A56103">
        <w:rPr>
          <w:rFonts w:ascii="Arial" w:hAnsi="Arial" w:cs="Arial"/>
        </w:rPr>
        <w:t xml:space="preserve">90 knots, a descent rate of 510 feet per minute is required. </w:t>
      </w:r>
    </w:p>
    <w:p w:rsidR="008F567F" w:rsidRDefault="008F567F" w:rsidP="00790924">
      <w:pPr>
        <w:rPr>
          <w:rFonts w:ascii="Arial" w:hAnsi="Arial" w:cs="Arial"/>
        </w:rPr>
      </w:pPr>
    </w:p>
    <w:p w:rsidR="008F567F" w:rsidRDefault="008F567F" w:rsidP="00790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presence of a VDA </w:t>
      </w:r>
      <w:r w:rsidR="00A56103">
        <w:rPr>
          <w:rFonts w:ascii="Arial" w:hAnsi="Arial" w:cs="Arial"/>
        </w:rPr>
        <w:t xml:space="preserve">on </w:t>
      </w:r>
      <w:r w:rsidR="00A56103" w:rsidRPr="00A56103">
        <w:rPr>
          <w:rFonts w:ascii="Arial" w:hAnsi="Arial" w:cs="Arial"/>
          <w:u w:val="single"/>
        </w:rPr>
        <w:t>GPS approaches</w:t>
      </w:r>
      <w:r w:rsidR="00A56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means that Garmin will make the LNAV+V option available and an advisory glideslope will be present. If there is no VDA symbol LNAV+V will not be presented in the Garmin approach database, so no advisory glideslope will be present.</w:t>
      </w:r>
    </w:p>
    <w:p w:rsidR="00E17285" w:rsidRDefault="00E17285" w:rsidP="00790924">
      <w:pPr>
        <w:rPr>
          <w:rFonts w:ascii="Arial" w:hAnsi="Arial" w:cs="Arial"/>
        </w:rPr>
      </w:pPr>
    </w:p>
    <w:p w:rsidR="00E17285" w:rsidRDefault="00E17285" w:rsidP="00790924">
      <w:pPr>
        <w:rPr>
          <w:rFonts w:ascii="Arial" w:hAnsi="Arial" w:cs="Arial"/>
        </w:rPr>
      </w:pPr>
    </w:p>
    <w:p w:rsidR="00675EDC" w:rsidRDefault="00675EDC" w:rsidP="00790924">
      <w:pPr>
        <w:rPr>
          <w:rFonts w:ascii="Arial" w:hAnsi="Arial" w:cs="Arial"/>
        </w:rPr>
      </w:pPr>
    </w:p>
    <w:p w:rsidR="00675EDC" w:rsidRPr="00E17285" w:rsidRDefault="00E17285" w:rsidP="00675E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Slope, Angle, &amp; Feet Per Nautical Mile Equivalents for Typical IFR Operations</w:t>
      </w:r>
    </w:p>
    <w:p w:rsidR="00790924" w:rsidRDefault="00E17285" w:rsidP="007909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17285" w:rsidRDefault="00E17285" w:rsidP="00790924">
      <w:pPr>
        <w:rPr>
          <w:rFonts w:ascii="Arial" w:hAnsi="Arial" w:cs="Arial"/>
          <w:b/>
        </w:rPr>
      </w:pPr>
    </w:p>
    <w:p w:rsidR="00E17285" w:rsidRDefault="00E17285" w:rsidP="00E172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Slope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Angle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Ft/Nm</w:t>
      </w:r>
      <w:r w:rsidR="00AA1EF1">
        <w:rPr>
          <w:rFonts w:ascii="Arial" w:hAnsi="Arial" w:cs="Arial"/>
          <w:b/>
        </w:rPr>
        <w:tab/>
      </w:r>
      <w:r w:rsidR="00AA1EF1">
        <w:rPr>
          <w:rFonts w:ascii="Arial" w:hAnsi="Arial" w:cs="Arial"/>
          <w:b/>
        </w:rPr>
        <w:tab/>
        <w:t>Ft/Min @ 90</w:t>
      </w:r>
      <w:r>
        <w:rPr>
          <w:rFonts w:ascii="Arial" w:hAnsi="Arial" w:cs="Arial"/>
          <w:b/>
        </w:rPr>
        <w:t>kts</w:t>
      </w:r>
    </w:p>
    <w:p w:rsidR="00E17285" w:rsidRDefault="00E17285" w:rsidP="00790924">
      <w:pPr>
        <w:rPr>
          <w:rFonts w:ascii="Arial" w:hAnsi="Arial" w:cs="Arial"/>
          <w:b/>
        </w:rPr>
      </w:pPr>
    </w:p>
    <w:p w:rsidR="00675EDC" w:rsidRDefault="00473BC9" w:rsidP="00AA1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Typical Precision Descent</w:t>
      </w:r>
      <w:r w:rsidR="00E17285">
        <w:rPr>
          <w:rFonts w:ascii="Arial" w:hAnsi="Arial" w:cs="Arial"/>
          <w:b/>
        </w:rPr>
        <w:tab/>
      </w:r>
      <w:r w:rsidR="00E17285">
        <w:rPr>
          <w:rFonts w:ascii="Arial" w:hAnsi="Arial" w:cs="Arial"/>
          <w:b/>
        </w:rPr>
        <w:tab/>
        <w:t>20:1</w:t>
      </w:r>
      <w:r w:rsidR="00E17285">
        <w:rPr>
          <w:rFonts w:ascii="Arial" w:hAnsi="Arial" w:cs="Arial"/>
          <w:b/>
        </w:rPr>
        <w:tab/>
      </w:r>
      <w:r w:rsidR="00E17285">
        <w:rPr>
          <w:rFonts w:ascii="Arial" w:hAnsi="Arial" w:cs="Arial"/>
          <w:b/>
        </w:rPr>
        <w:tab/>
        <w:t>2.86</w:t>
      </w:r>
      <w:r w:rsidR="00675EDC" w:rsidRPr="00A108AD">
        <w:rPr>
          <w:rFonts w:ascii="Arial" w:hAnsi="Arial" w:cs="Arial"/>
          <w:b/>
        </w:rPr>
        <w:t>°</w:t>
      </w:r>
      <w:r w:rsidR="00E17285">
        <w:rPr>
          <w:rFonts w:ascii="Arial" w:hAnsi="Arial" w:cs="Arial"/>
          <w:b/>
        </w:rPr>
        <w:tab/>
      </w:r>
      <w:r w:rsidR="00E17285">
        <w:rPr>
          <w:rFonts w:ascii="Arial" w:hAnsi="Arial" w:cs="Arial"/>
          <w:b/>
        </w:rPr>
        <w:tab/>
      </w:r>
      <w:r w:rsidR="00A108AD">
        <w:rPr>
          <w:rFonts w:ascii="Arial" w:hAnsi="Arial" w:cs="Arial"/>
          <w:b/>
        </w:rPr>
        <w:t>318’</w:t>
      </w:r>
      <w:r w:rsidR="00AA1EF1">
        <w:rPr>
          <w:rFonts w:ascii="Arial" w:hAnsi="Arial" w:cs="Arial"/>
          <w:b/>
        </w:rPr>
        <w:tab/>
      </w:r>
      <w:r w:rsidR="00AA1EF1">
        <w:rPr>
          <w:rFonts w:ascii="Arial" w:hAnsi="Arial" w:cs="Arial"/>
          <w:b/>
        </w:rPr>
        <w:tab/>
        <w:t>478</w:t>
      </w:r>
    </w:p>
    <w:p w:rsidR="00AA1EF1" w:rsidRDefault="00473BC9" w:rsidP="00AA1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Protection </w:t>
      </w:r>
      <w:r w:rsidR="00E17285">
        <w:rPr>
          <w:rFonts w:ascii="Arial" w:hAnsi="Arial" w:cs="Arial"/>
          <w:b/>
        </w:rPr>
        <w:t xml:space="preserve">Descent </w:t>
      </w:r>
      <w:r>
        <w:rPr>
          <w:rFonts w:ascii="Arial" w:hAnsi="Arial" w:cs="Arial"/>
          <w:b/>
        </w:rPr>
        <w:t>Below VDP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17285">
        <w:rPr>
          <w:rFonts w:ascii="Arial" w:hAnsi="Arial" w:cs="Arial"/>
          <w:b/>
        </w:rPr>
        <w:t>34:1</w:t>
      </w:r>
      <w:r w:rsidR="00E17285">
        <w:rPr>
          <w:rFonts w:ascii="Arial" w:hAnsi="Arial" w:cs="Arial"/>
          <w:b/>
        </w:rPr>
        <w:tab/>
      </w:r>
      <w:r w:rsidR="00E17285">
        <w:rPr>
          <w:rFonts w:ascii="Arial" w:hAnsi="Arial" w:cs="Arial"/>
          <w:b/>
        </w:rPr>
        <w:tab/>
      </w:r>
      <w:r w:rsidR="00A108AD">
        <w:rPr>
          <w:rFonts w:ascii="Arial" w:hAnsi="Arial" w:cs="Arial"/>
          <w:b/>
        </w:rPr>
        <w:t>1.68</w:t>
      </w:r>
      <w:r w:rsidR="00A108AD" w:rsidRPr="00A108AD">
        <w:rPr>
          <w:rFonts w:ascii="Arial" w:hAnsi="Arial" w:cs="Arial"/>
          <w:b/>
        </w:rPr>
        <w:t>°</w:t>
      </w:r>
      <w:r w:rsidR="00E17285">
        <w:rPr>
          <w:rFonts w:ascii="Arial" w:hAnsi="Arial" w:cs="Arial"/>
          <w:b/>
        </w:rPr>
        <w:tab/>
      </w:r>
      <w:r w:rsidR="00E1728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178’</w:t>
      </w:r>
      <w:r w:rsidR="00AA1EF1">
        <w:rPr>
          <w:rFonts w:ascii="Arial" w:hAnsi="Arial" w:cs="Arial"/>
          <w:b/>
        </w:rPr>
        <w:tab/>
      </w:r>
      <w:r w:rsidR="00AA1EF1">
        <w:rPr>
          <w:rFonts w:ascii="Arial" w:hAnsi="Arial" w:cs="Arial"/>
          <w:b/>
        </w:rPr>
        <w:tab/>
        <w:t>267</w:t>
      </w:r>
    </w:p>
    <w:p w:rsidR="0047108A" w:rsidRDefault="00E17285" w:rsidP="00AA1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Criteria for ODP</w:t>
      </w:r>
      <w:r w:rsidR="00AA1EF1">
        <w:rPr>
          <w:rFonts w:ascii="Arial" w:hAnsi="Arial" w:cs="Arial"/>
          <w:b/>
        </w:rPr>
        <w:t xml:space="preserve"> </w:t>
      </w:r>
      <w:r w:rsidR="00A23596">
        <w:rPr>
          <w:rFonts w:ascii="Arial" w:hAnsi="Arial" w:cs="Arial"/>
          <w:b/>
        </w:rPr>
        <w:t xml:space="preserve">Being </w:t>
      </w:r>
      <w:r w:rsidR="00AA1EF1">
        <w:rPr>
          <w:rFonts w:ascii="Arial" w:hAnsi="Arial" w:cs="Arial"/>
          <w:b/>
        </w:rPr>
        <w:t>Published</w:t>
      </w:r>
      <w:r w:rsidR="00A235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40:1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7108A">
        <w:rPr>
          <w:rFonts w:ascii="Arial" w:hAnsi="Arial" w:cs="Arial"/>
          <w:b/>
        </w:rPr>
        <w:t>1.43</w:t>
      </w:r>
      <w:r w:rsidR="0047108A" w:rsidRPr="00A108AD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7108A">
        <w:rPr>
          <w:rFonts w:ascii="Arial" w:hAnsi="Arial" w:cs="Arial"/>
          <w:b/>
        </w:rPr>
        <w:t>152’</w:t>
      </w:r>
      <w:r w:rsidR="00AA1EF1">
        <w:rPr>
          <w:rFonts w:ascii="Arial" w:hAnsi="Arial" w:cs="Arial"/>
          <w:b/>
        </w:rPr>
        <w:tab/>
      </w:r>
      <w:r w:rsidR="00AA1EF1">
        <w:rPr>
          <w:rFonts w:ascii="Arial" w:hAnsi="Arial" w:cs="Arial"/>
          <w:b/>
        </w:rPr>
        <w:tab/>
        <w:t>228</w:t>
      </w:r>
    </w:p>
    <w:p w:rsidR="00E27421" w:rsidRDefault="00E27421" w:rsidP="00AA1EF1">
      <w:pPr>
        <w:rPr>
          <w:rFonts w:ascii="Arial" w:hAnsi="Arial" w:cs="Arial"/>
          <w:b/>
        </w:rPr>
      </w:pPr>
    </w:p>
    <w:p w:rsidR="00E27421" w:rsidRDefault="00E27421" w:rsidP="00AA1EF1">
      <w:pPr>
        <w:rPr>
          <w:rFonts w:ascii="Arial" w:hAnsi="Arial" w:cs="Arial"/>
          <w:b/>
        </w:rPr>
      </w:pPr>
    </w:p>
    <w:p w:rsidR="00E27421" w:rsidRPr="00A108AD" w:rsidRDefault="00E27421" w:rsidP="00AA1EF1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5715000" cy="5457825"/>
            <wp:effectExtent l="0" t="0" r="0" b="9525"/>
            <wp:docPr id="2" name="Picture 2" descr="https://genebenson.com/images/Climb-Descent_Tab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nebenson.com/images/Climb-Descent_Tabl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421" w:rsidRPr="00A108AD" w:rsidSect="00AA1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24"/>
    <w:rsid w:val="002F451C"/>
    <w:rsid w:val="003303D3"/>
    <w:rsid w:val="0047108A"/>
    <w:rsid w:val="00473BC9"/>
    <w:rsid w:val="00675EDC"/>
    <w:rsid w:val="007470A0"/>
    <w:rsid w:val="00790924"/>
    <w:rsid w:val="008A2D94"/>
    <w:rsid w:val="008F567F"/>
    <w:rsid w:val="009569AC"/>
    <w:rsid w:val="009C617F"/>
    <w:rsid w:val="00A108AD"/>
    <w:rsid w:val="00A23596"/>
    <w:rsid w:val="00A56103"/>
    <w:rsid w:val="00AA1EF1"/>
    <w:rsid w:val="00AF4595"/>
    <w:rsid w:val="00BA2014"/>
    <w:rsid w:val="00D613FC"/>
    <w:rsid w:val="00E17285"/>
    <w:rsid w:val="00E27421"/>
    <w:rsid w:val="00EC75B6"/>
    <w:rsid w:val="00F40E03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dsimpson</cp:lastModifiedBy>
  <cp:revision>2</cp:revision>
  <cp:lastPrinted>2013-12-12T19:15:00Z</cp:lastPrinted>
  <dcterms:created xsi:type="dcterms:W3CDTF">2015-11-03T05:43:00Z</dcterms:created>
  <dcterms:modified xsi:type="dcterms:W3CDTF">2015-11-03T05:43:00Z</dcterms:modified>
</cp:coreProperties>
</file>